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-__000002.xml"/>
  <Override ContentType="application/vnd.openxmlformats-officedocument.wordprocessingml.header+xml" PartName="/word/header-__000001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>
      <w:pPr>
        <w:pStyle w:val="Heading1"/>
        <w:rPr>
          <w:rFonts w:ascii="Times New Roman" w:hAnsi="Times New Roman" w:eastAsia="Times New Roman" w:cs="Times New Roman"/>
          <w:color w:val="000000"/>
        </w:rPr>
      </w:pPr>
      <w:r>
        <w:t/>
      </w:r>
      <w:r>
        <w:t xml:space="preserve"/>
      </w:r>
      <w:r>
        <w:rPr>
          <w:rFonts w:ascii="Times New Roman" w:hAnsi="Times New Roman" w:eastAsia="Times New Roman" w:cs="Times New Roman"/>
          <w:color w:val="000000"/>
        </w:rPr>
        <w:t xml:space="preserve">Regression of fuel consumption with respect to car weight in the </w:t>
      </w:r>
      <w:r>
        <w:rPr>
          <w:rFonts w:ascii="Courier New" w:hAnsi="Courier New" w:eastAsia="Courier New" w:cs="Courier New"/>
          <w:color w:val="000000"/>
        </w:rPr>
        <w:t xml:space="preserve">xauto</w:t>
      </w:r>
      <w:r>
        <w:rPr>
          <w:rFonts w:ascii="Times New Roman" w:hAnsi="Times New Roman" w:eastAsia="Times New Roman" w:cs="Times New Roman"/>
          <w:color w:val="000000"/>
        </w:rPr>
        <w:t xml:space="preserve"> data</w:t>
      </w:r>
    </w:p>
    <w:p>
      <w:pPr>
        <w:spacing w:line="240" w:lineRule="auto"/>
      </w:pPr>
      <w:r>
        <w:t/>
      </w:r>
      <w:r>
        <w:t xml:space="preserve">In the dataset uploaded using the SSC package </w:t>
      </w:r>
      <w:r>
        <w:rPr>
          <w:rFonts w:ascii="Courier New" w:hAnsi="Courier New" w:eastAsia="Courier New" w:cs="Courier New"/>
        </w:rPr>
        <w:t xml:space="preserve">xauto</w:t>
      </w:r>
      <w:r>
        <w:t xml:space="preserve">, we fitted a linear regression model </w:t>
      </w:r>
      <w:r>
        <w:t xml:space="preserve">of fuel consumption (in nipperkins per mile) </w:t>
      </w:r>
      <w:r>
        <w:t xml:space="preserve">with respect to car weight (in US tons), </w:t>
      </w:r>
      <w:r>
        <w:t xml:space="preserve">separately for the 2 car model origin groups </w:t>
      </w:r>
      <w:r>
        <w:t xml:space="preserve">(non-US models and US models). </w:t>
      </w:r>
      <w:r>
        <w:t xml:space="preserve">In each regression model, the regression slope was a weight effect on fuel consumption </w:t>
      </w:r>
      <w:r>
        <w:t xml:space="preserve">(expressed in nipperkins per additional ton-mile), </w:t>
      </w:r>
      <w:r>
        <w:t xml:space="preserve">and the intercept was a mean fuel consumption </w:t>
      </w:r>
      <w:r>
        <w:t xml:space="preserve">(expressed in nipperkins per mile) </w:t>
      </w:r>
      <w:r>
        <w:t xml:space="preserve">for a fantasy car with zero weight.</w:t>
      </w:r>
    </w:p>
    <w:p>
      <w:pPr>
        <w:sectPr>
          <w:headerReference w:type="default" r:id="rId3"/>
          <w:footerReference w:type="default" r:id="rId4"/>
          <w:pgSz w:w="11907" w:h="16839" w:code="9"/>
          <w:pgMar w:top="1440" w:right="1440" w:bottom="1440" w:left="1440"/>
          <w:pgNumType w:fmt="decimal"/>
        </w:sectPr>
      </w:pPr>
    </w:p>
    <w:p>
      <w:pPr>
        <w:pStyle w:val="Heading1"/>
        <w:rPr>
          <w:rFonts w:ascii="Times New Roman" w:hAnsi="Times New Roman" w:eastAsia="Times New Roman" w:cs="Times New Roman"/>
          <w:color w:val="000000"/>
        </w:rPr>
      </w:pPr>
      <w:r>
        <w:t/>
      </w:r>
      <w:r>
        <w:t xml:space="preserve"/>
      </w:r>
      <w:r>
        <w:rPr>
          <w:rFonts w:ascii="Times New Roman" w:hAnsi="Times New Roman" w:eastAsia="Times New Roman" w:cs="Times New Roman"/>
          <w:color w:val="000000"/>
        </w:rPr>
        <w:t xml:space="preserve">Table 1. Regression of fuel consumption with respect to weight (long version using </w:t>
      </w:r>
      <w:r>
        <w:rPr>
          <w:rFonts w:ascii="Courier New" w:hAnsi="Courier New" w:eastAsia="Courier New" w:cs="Courier New"/>
          <w:color w:val="000000"/>
        </w:rPr>
        <w:t xml:space="preserve">insingap</w:t>
      </w:r>
      <w:r>
        <w:rPr>
          <w:rFonts w:ascii="Times New Roman" w:hAnsi="Times New Roman" w:eastAsia="Times New Roman" w:cs="Times New Roman"/>
          <w:color w:val="000000"/>
        </w:rPr>
        <w:t xml:space="preserve">)</w:t>
      </w:r>
    </w:p>
    <w:tbl>
      <w:tblPr>
        <w:tblStyle w:val="TableGrid"/>
        <w:tblW w:w="0" w:type="auto"/>
        <w:tblBorders>
          <w:top w:val="single" w:color="000000" w:sz="4" w:shadow="false"/>
          <w:left w:val="single" w:color="000000" w:sz="4" w:shadow="false"/>
          <w:bottom w:val="single" w:color="000000" w:sz="4" w:shadow="false"/>
          <w:right w:val="single" w:color="000000" w:sz="4" w:shadow="false"/>
          <w:insideH w:val="single" w:color="000000" w:sz="4" w:shadow="false"/>
          <w:insideV w:val="single" w:color="000000" w:sz="4" w:shadow="false"/>
        </w:tblBorders>
      </w:tblPr>
      <w:tblGrid>
        <w:gridCol w:w="2592"/>
        <w:gridCol w:w="2592"/>
        <w:gridCol w:w="2592"/>
        <w:gridCol w:w="2592"/>
        <w:gridCol w:w="2592"/>
      </w:tblGrid>
      <w:tr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Parameter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Estimate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(95%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CI)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P</w:t>
            </w:r>
          </w:p>
        </w:tc>
      </w:tr>
      <w:tr>
        <w:tc>
          <w:tcPr>
            <w:tcW w:w="0" w:type="auto"/>
            <w:shd w:val="clear" w:color="000000" w:fill="ECECEC"/>
          </w:tcPr>
          <w:p>
            <w:pPr>
              <w:spacing w:after="0"/>
              <w:jc w:val="left"/>
            </w:pPr>
            <w:r>
              <w:rPr>
                <w:b w:val="true"/>
              </w:rPr>
              <w:t xml:space="preserve">Non-US (N=22):</w:t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right"/>
            </w:pPr>
            <w:r>
              <w:rPr>
                <w:b w:val="true"/>
              </w:rPr>
              <w:t xml:space="preserve"/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right"/>
            </w:pPr>
            <w:r>
              <w:rPr>
                <w:b w:val="true"/>
              </w:rPr>
              <w:t xml:space="preserve"/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right"/>
            </w:pPr>
            <w:r>
              <w:rPr>
                <w:b w:val="true"/>
              </w:rPr>
              <w:t xml:space="preserve"/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left"/>
            </w:pPr>
            <w:r>
              <w:rPr>
                <w:b w:val="true"/>
              </w:rPr>
              <w:t xml:space="preserve"/>
            </w:r>
          </w:p>
        </w:tc>
      </w:tr>
      <w:tr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Weight (US tons)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11.059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(8.130,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13.987)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1.5e-7</w:t>
            </w:r>
          </w:p>
        </w:tc>
      </w:tr>
      <w:tr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Constant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-1.764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(-5.382,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1.853)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.32</w:t>
            </w:r>
          </w:p>
        </w:tc>
      </w:tr>
      <w:tr>
        <w:tc>
          <w:tcPr>
            <w:tcW w:w="0" w:type="auto"/>
            <w:shd w:val="clear" w:color="000000" w:fill="ECECEC"/>
          </w:tcPr>
          <w:p>
            <w:pPr>
              <w:spacing w:after="0"/>
              <w:jc w:val="left"/>
            </w:pPr>
            <w:r>
              <w:rPr>
                <w:b w:val="true"/>
              </w:rPr>
              <w:t xml:space="preserve">US (N=52):</w:t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right"/>
            </w:pPr>
            <w:r>
              <w:rPr>
                <w:b w:val="true"/>
              </w:rPr>
              <w:t xml:space="preserve"/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right"/>
            </w:pPr>
            <w:r>
              <w:rPr>
                <w:b w:val="true"/>
              </w:rPr>
              <w:t xml:space="preserve"/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right"/>
            </w:pPr>
            <w:r>
              <w:rPr>
                <w:b w:val="true"/>
              </w:rPr>
              <w:t xml:space="preserve"/>
            </w:r>
          </w:p>
        </w:tc>
        <w:tc>
          <w:tcPr>
            <w:tcW w:w="0" w:type="auto"/>
            <w:shd w:val="clear" w:color="000000" w:fill="ECECEC"/>
          </w:tcPr>
          <w:p>
            <w:pPr>
              <w:spacing w:after="0"/>
              <w:jc w:val="left"/>
            </w:pPr>
            <w:r>
              <w:rPr>
                <w:b w:val="true"/>
              </w:rPr>
              <w:t xml:space="preserve"/>
            </w:r>
          </w:p>
        </w:tc>
      </w:tr>
      <w:tr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Weight (US tons)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7.885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(6.484,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9.286)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2.2e-15</w:t>
            </w:r>
          </w:p>
        </w:tc>
      </w:tr>
      <w:tr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Constant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(-1.549,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2.622)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.61</w:t>
            </w:r>
          </w:p>
        </w:tc>
      </w:tr>
    </w:tbl>
    <w:p>
      <w:r>
        <w:t/>
      </w:r>
    </w:p>
    <w:p>
      <w:pPr>
        <w:pStyle w:val="Heading1"/>
      </w:pPr>
      <w:r>
        <w:t/>
      </w:r>
      <w:r>
        <w:t xml:space="preserve"/>
      </w:r>
    </w:p>
    <w:p>
      <w:pPr>
        <w:pStyle w:val="Heading1"/>
        <w:rPr>
          <w:rFonts w:ascii="Times New Roman" w:hAnsi="Times New Roman" w:eastAsia="Times New Roman" w:cs="Times New Roman"/>
          <w:color w:val="000000"/>
        </w:rPr>
      </w:pPr>
      <w:r>
        <w:t/>
      </w:r>
      <w:r>
        <w:t xml:space="preserve"/>
      </w:r>
      <w:r>
        <w:rPr>
          <w:rFonts w:ascii="Times New Roman" w:hAnsi="Times New Roman" w:eastAsia="Times New Roman" w:cs="Times New Roman"/>
          <w:color w:val="000000"/>
        </w:rPr>
        <w:t xml:space="preserve">Table 2. Regression of fuel consumption with respect to weight (wide version using </w:t>
      </w:r>
      <w:r>
        <w:rPr>
          <w:rFonts w:ascii="Courier New" w:hAnsi="Courier New" w:eastAsia="Courier New" w:cs="Courier New"/>
          <w:color w:val="000000"/>
        </w:rPr>
        <w:t xml:space="preserve">xrewide</w:t>
      </w:r>
      <w:r>
        <w:rPr>
          <w:rFonts w:ascii="Times New Roman" w:hAnsi="Times New Roman" w:eastAsia="Times New Roman" w:cs="Times New Roman"/>
          <w:color w:val="000000"/>
        </w:rPr>
        <w:t xml:space="preserve">)</w:t>
      </w:r>
    </w:p>
    <w:tbl>
      <w:tblPr>
        <w:tblStyle w:val="TableGrid"/>
        <w:tblW w:w="0" w:type="auto"/>
        <w:tblBorders>
          <w:top w:val="single" w:color="000000" w:sz="4" w:shadow="false"/>
          <w:left w:val="single" w:color="000000" w:sz="4" w:shadow="false"/>
          <w:bottom w:val="single" w:color="000000" w:sz="4" w:shadow="false"/>
          <w:right w:val="single" w:color="000000" w:sz="4" w:shadow="false"/>
          <w:insideH w:val="single" w:color="000000" w:sz="4" w:shadow="false"/>
          <w:insideV w:val="single" w:color="000000" w:sz="4" w:shadow="false"/>
        </w:tblBorders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 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Non-US (N=22):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 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 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 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US (N=52):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 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 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 </w:t>
            </w:r>
          </w:p>
        </w:tc>
      </w:tr>
      <w:tr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Parameter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Estimate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(95%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CI)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P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Estimate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(95%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right"/>
            </w:pPr>
            <w:r>
              <w:rPr>
                <w:b w:val="true"/>
                <w:i w:val="true"/>
              </w:rPr>
              <w:t xml:space="preserve">CI)</w:t>
            </w:r>
          </w:p>
        </w:tc>
        <w:tc>
          <w:tcPr>
            <w:shd w:val="clear" w:color="000000" w:fill="D3D3D3"/>
          </w:tcPr>
          <w:p>
            <w:pPr>
              <w:spacing w:after="0"/>
              <w:jc w:val="left"/>
            </w:pPr>
            <w:r>
              <w:rPr>
                <w:b w:val="true"/>
                <w:i w:val="true"/>
              </w:rPr>
              <w:t xml:space="preserve">P</w:t>
            </w:r>
          </w:p>
        </w:tc>
      </w:tr>
      <w:tr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Weight (US tons)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11.059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(8.130,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13.987)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1.5e-7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7.885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(6.484,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9.286)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2.2e-15</w:t>
            </w:r>
          </w:p>
        </w:tc>
      </w:tr>
      <w:tr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Constant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-1.764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(-5.382,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1.853)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.32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(-1.549,</w:t>
            </w:r>
          </w:p>
        </w:tc>
        <w:tc>
          <w:tcPr>
            <w:tcW w:w="0" w:type="auto"/>
          </w:tcPr>
          <w:p>
            <w:pPr>
              <w:spacing w:after="0"/>
              <w:jc w:val="right"/>
            </w:pPr>
            <w:r>
              <w:t xml:space="preserve">2.622)</w:t>
            </w:r>
          </w:p>
        </w:tc>
        <w:tc>
          <w:tcPr>
            <w:tcW w:w="0" w:type="auto"/>
          </w:tcPr>
          <w:p>
            <w:pPr>
              <w:spacing w:after="0"/>
              <w:jc w:val="left"/>
            </w:pPr>
            <w:r>
              <w:t xml:space="preserve">.61</w:t>
            </w:r>
          </w:p>
        </w:tc>
      </w:tr>
    </w:tbl>
    <w:p>
      <w:r>
        <w:t/>
      </w:r>
    </w:p>
    <w:sectPr>
      <w:headerReference w:type="default" r:id="rId3"/>
      <w:footerReference w:type="default" r:id="rId4"/>
      <w:pgSz w:w="15840" w:h="12240" w:orient="landscape" w:code="1"/>
      <w:pgMar w:top="1440" w:right="1440" w:bottom="1440" w:left="1440"/>
      <w:pgNumType w:fmt="decimal"/>
    </w:sectPr>
  </w:body>
</w:document>
</file>

<file path=word/footer-__000002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jc w:val="left"/>
      <w:rPr>
        <w:rFonts w:ascii="Times New Roman" w:hAnsi="Times New Roman" w:eastAsia="Times New Roman" w:cs="Times New Roman"/>
        <w:color w:val="000000"/>
        <w:sz w:val="24"/>
      </w:rPr>
    </w:pPr>
    <w:r>
      <w:t/>
    </w:r>
    <w:r>
      <w:rPr>
        <w:rFonts w:ascii="Courier New" w:hAnsi="Courier New" w:eastAsia="Courier New" w:cs="Courier New"/>
        <w:b w:val="true"/>
        <w:i w:val="true"/>
        <w:color w:val="000000"/>
        <w:sz w:val="24"/>
      </w:rPr>
      <w:t xml:space="preserve">mydocxdoc1.docx</w:t>
    </w:r>
    <w:r>
      <w:rPr>
        <w:rFonts w:ascii="Times New Roman" w:hAnsi="Times New Roman" w:eastAsia="Times New Roman" w:cs="Times New Roman"/>
        <w:b w:val="true"/>
        <w:i w:val="true"/>
        <w:color w:val="000000"/>
        <w:sz w:val="24"/>
      </w:rPr>
      <w:t xml:space="preserve">, Page </w:t>
    </w:r>
    <w:r>
      <w:rPr>
        <w:rFonts w:ascii="Times New Roman" w:hAnsi="Times New Roman" w:eastAsia="Times New Roman" w:cs="Times New Roman"/>
        <w:b w:val="true"/>
        <w:i w:val="true"/>
        <w:color w:val="000000"/>
        <w:sz w:val="24"/>
      </w:rPr>
      <w:fldChar w:fldCharType="begin"/>
      <w:instrText xml:space="preserve"> PAGE \* MERGEFORMAT </w:instrText>
      <w:fldChar w:fldCharType="end"/>
    </w:r>
    <w:r>
      <w:rPr>
        <w:rFonts w:ascii="Times New Roman" w:hAnsi="Times New Roman" w:eastAsia="Times New Roman" w:cs="Times New Roman"/>
        <w:b w:val="true"/>
        <w:i w:val="true"/>
        <w:color w:val="000000"/>
        <w:sz w:val="24"/>
      </w:rPr>
      <w:t xml:space="preserve"> of </w:t>
    </w:r>
    <w:r>
      <w:rPr>
        <w:rFonts w:ascii="Times New Roman" w:hAnsi="Times New Roman" w:eastAsia="Times New Roman" w:cs="Times New Roman"/>
        <w:b w:val="true"/>
        <w:i w:val="true"/>
        <w:color w:val="000000"/>
        <w:sz w:val="24"/>
      </w:rPr>
      <w:fldChar w:fldCharType="begin"/>
      <w:instrText xml:space="preserve"> NUMPAGES \* MERGEFORMAT </w:instrText>
      <w:fldChar w:fldCharType="end"/>
    </w:r>
  </w:p>
</w:ftr>
</file>

<file path=word/header-__000001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jc w:val="left"/>
      <w:rPr>
        <w:rFonts w:ascii="Times New Roman" w:hAnsi="Times New Roman" w:eastAsia="Times New Roman" w:cs="Times New Roman"/>
        <w:color w:val="000000"/>
        <w:sz w:val="24"/>
      </w:rPr>
    </w:pPr>
    <w:r>
      <w:t/>
    </w:r>
    <w:r>
      <w:rPr>
        <w:rFonts w:ascii="Times New Roman" w:hAnsi="Times New Roman" w:eastAsia="Times New Roman" w:cs="Times New Roman"/>
        <w:b w:val="true"/>
        <w:i w:val="true"/>
        <w:color w:val="000000"/>
        <w:sz w:val="24"/>
      </w:rPr>
      <w:t xml:space="preserve">There should possibly be logos here...</w:t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rFonts w:ascii="Times New Roman" w:hAnsi="Times New Roman" w:eastAsia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-__000001.xml" Type="http://schemas.openxmlformats.org/officeDocument/2006/relationships/header" Id="rId3"/>
    <Relationship Target="footer-__000002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